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7AD4" w:rsidRDefault="00BC7AD4" w:rsidP="00BC7AD4">
      <w:pPr>
        <w:suppressLineNumbers/>
        <w:rPr>
          <w:rFonts w:hint="cs"/>
          <w:sz w:val="26"/>
          <w:szCs w:val="26"/>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BC7AD4" w:rsidRPr="00CD0055" w:rsidTr="00B74305">
        <w:trPr>
          <w:jc w:val="center"/>
        </w:trPr>
        <w:tc>
          <w:tcPr>
            <w:tcW w:w="3249" w:type="dxa"/>
          </w:tcPr>
          <w:p w:rsidR="00BC7AD4" w:rsidRDefault="00BC7AD4" w:rsidP="00B74305">
            <w:pPr>
              <w:rPr>
                <w:rFonts w:ascii="Arial (W1)" w:hAnsi="Arial (W1)"/>
                <w:b/>
                <w:bCs/>
                <w:noProof w:val="0"/>
                <w:sz w:val="26"/>
                <w:szCs w:val="26"/>
              </w:rPr>
            </w:pPr>
            <w:r>
              <w:rPr>
                <w:rFonts w:hint="cs"/>
                <w:b/>
                <w:bCs/>
                <w:noProof w:val="0"/>
                <w:sz w:val="26"/>
                <w:szCs w:val="26"/>
                <w:rtl/>
              </w:rPr>
              <w:t>העוררת:</w:t>
            </w:r>
          </w:p>
        </w:tc>
        <w:tc>
          <w:tcPr>
            <w:tcW w:w="5571" w:type="dxa"/>
          </w:tcPr>
          <w:p w:rsidR="00BC7AD4" w:rsidRDefault="00BC7AD4" w:rsidP="00B74305">
            <w:pPr>
              <w:rPr>
                <w:sz w:val="26"/>
                <w:szCs w:val="26"/>
                <w:rtl/>
              </w:rPr>
            </w:pPr>
            <w:r>
              <w:rPr>
                <w:rFonts w:hint="cs"/>
                <w:b/>
                <w:bCs/>
                <w:noProof w:val="0"/>
                <w:sz w:val="26"/>
                <w:szCs w:val="26"/>
                <w:rtl/>
              </w:rPr>
              <w:t>ימ"ר תל אביב</w:t>
            </w:r>
          </w:p>
          <w:p w:rsidR="00BC7AD4" w:rsidRPr="00CD0055" w:rsidRDefault="00BC7AD4" w:rsidP="00B74305">
            <w:pPr>
              <w:rPr>
                <w:rFonts w:ascii="Arial (W1)" w:hAnsi="Arial (W1)"/>
                <w:b/>
                <w:bCs/>
                <w:noProof w:val="0"/>
                <w:sz w:val="26"/>
                <w:szCs w:val="26"/>
              </w:rPr>
            </w:pPr>
            <w:r>
              <w:rPr>
                <w:rFonts w:hint="cs"/>
                <w:sz w:val="26"/>
                <w:szCs w:val="26"/>
                <w:rtl/>
              </w:rPr>
              <w:t xml:space="preserve">ע"י ב"כ עו"ד ורפ"ק </w:t>
            </w:r>
            <w:r w:rsidRPr="00BC552D">
              <w:rPr>
                <w:sz w:val="26"/>
                <w:szCs w:val="26"/>
                <w:rtl/>
              </w:rPr>
              <w:t>רוברט ברדהולדס</w:t>
            </w:r>
          </w:p>
        </w:tc>
      </w:tr>
      <w:tr w:rsidR="00BC7AD4" w:rsidRPr="00CD0055" w:rsidTr="00B74305">
        <w:trPr>
          <w:jc w:val="center"/>
        </w:trPr>
        <w:tc>
          <w:tcPr>
            <w:tcW w:w="8820" w:type="dxa"/>
            <w:gridSpan w:val="2"/>
          </w:tcPr>
          <w:p w:rsidR="00BC7AD4" w:rsidRPr="00CD0055" w:rsidRDefault="00BC7AD4" w:rsidP="00B74305">
            <w:pPr>
              <w:rPr>
                <w:rFonts w:ascii="Arial (W1)" w:hAnsi="Arial (W1)"/>
                <w:b/>
                <w:bCs/>
                <w:noProof w:val="0"/>
                <w:sz w:val="26"/>
                <w:szCs w:val="26"/>
                <w:rtl/>
              </w:rPr>
            </w:pPr>
          </w:p>
          <w:p w:rsidR="00BC7AD4" w:rsidRPr="00CD0055" w:rsidRDefault="00BC7AD4" w:rsidP="00B74305">
            <w:pPr>
              <w:jc w:val="center"/>
              <w:rPr>
                <w:b/>
                <w:bCs/>
                <w:noProof w:val="0"/>
                <w:sz w:val="26"/>
                <w:szCs w:val="26"/>
                <w:rtl/>
              </w:rPr>
            </w:pPr>
            <w:r w:rsidRPr="00CD0055">
              <w:rPr>
                <w:rFonts w:hint="cs"/>
                <w:b/>
                <w:bCs/>
                <w:noProof w:val="0"/>
                <w:sz w:val="26"/>
                <w:szCs w:val="26"/>
                <w:rtl/>
              </w:rPr>
              <w:t>נגד</w:t>
            </w:r>
          </w:p>
          <w:p w:rsidR="00BC7AD4" w:rsidRPr="00CD0055" w:rsidRDefault="00BC7AD4" w:rsidP="00B74305">
            <w:pPr>
              <w:rPr>
                <w:rFonts w:ascii="Arial (W1)" w:hAnsi="Arial (W1)"/>
                <w:b/>
                <w:bCs/>
                <w:noProof w:val="0"/>
                <w:sz w:val="26"/>
                <w:szCs w:val="26"/>
              </w:rPr>
            </w:pPr>
          </w:p>
        </w:tc>
      </w:tr>
      <w:tr w:rsidR="00BC7AD4" w:rsidRPr="00CD0055" w:rsidTr="00B74305">
        <w:trPr>
          <w:jc w:val="center"/>
        </w:trPr>
        <w:tc>
          <w:tcPr>
            <w:tcW w:w="3249" w:type="dxa"/>
          </w:tcPr>
          <w:p w:rsidR="00BC7AD4" w:rsidRPr="00CD0055" w:rsidRDefault="00BC7AD4" w:rsidP="00B74305">
            <w:pPr>
              <w:rPr>
                <w:rFonts w:ascii="Arial (W1)" w:hAnsi="Arial (W1)"/>
                <w:b/>
                <w:bCs/>
                <w:noProof w:val="0"/>
                <w:sz w:val="26"/>
                <w:szCs w:val="26"/>
              </w:rPr>
            </w:pPr>
            <w:r>
              <w:rPr>
                <w:rFonts w:hint="cs"/>
                <w:b/>
                <w:bCs/>
                <w:noProof w:val="0"/>
                <w:sz w:val="26"/>
                <w:szCs w:val="26"/>
                <w:rtl/>
              </w:rPr>
              <w:t>המשיבים:</w:t>
            </w:r>
          </w:p>
        </w:tc>
        <w:tc>
          <w:tcPr>
            <w:tcW w:w="5571" w:type="dxa"/>
          </w:tcPr>
          <w:p w:rsidR="00BC7AD4" w:rsidRDefault="00BC7AD4" w:rsidP="00B74305">
            <w:pPr>
              <w:rPr>
                <w:sz w:val="26"/>
                <w:szCs w:val="26"/>
                <w:rtl/>
              </w:rPr>
            </w:pPr>
            <w:r>
              <w:rPr>
                <w:rFonts w:hint="cs"/>
                <w:b/>
                <w:bCs/>
                <w:noProof w:val="0"/>
                <w:sz w:val="26"/>
                <w:szCs w:val="26"/>
                <w:rtl/>
              </w:rPr>
              <w:t>1</w:t>
            </w:r>
            <w:r w:rsidRPr="00CD0055">
              <w:rPr>
                <w:rFonts w:hint="cs"/>
                <w:b/>
                <w:bCs/>
                <w:noProof w:val="0"/>
                <w:sz w:val="26"/>
                <w:szCs w:val="26"/>
                <w:rtl/>
              </w:rPr>
              <w:t>.</w:t>
            </w:r>
            <w:r>
              <w:rPr>
                <w:rFonts w:hint="cs"/>
                <w:b/>
                <w:bCs/>
                <w:noProof w:val="0"/>
                <w:sz w:val="26"/>
                <w:szCs w:val="26"/>
                <w:rtl/>
              </w:rPr>
              <w:t>פלוני</w:t>
            </w:r>
          </w:p>
          <w:p w:rsidR="00BC7AD4" w:rsidRPr="00BC552D" w:rsidRDefault="00BC7AD4" w:rsidP="00B74305">
            <w:pPr>
              <w:rPr>
                <w:rFonts w:ascii="Arial (W1)" w:hAnsi="Arial (W1)"/>
                <w:b/>
                <w:bCs/>
                <w:noProof w:val="0"/>
                <w:sz w:val="28"/>
                <w:szCs w:val="28"/>
              </w:rPr>
            </w:pPr>
            <w:r>
              <w:rPr>
                <w:rFonts w:hint="cs"/>
                <w:sz w:val="26"/>
                <w:szCs w:val="26"/>
                <w:rtl/>
              </w:rPr>
              <w:t>ע"י ב"כ עו"ד</w:t>
            </w:r>
            <w:r>
              <w:rPr>
                <w:rFonts w:hint="cs"/>
                <w:rtl/>
              </w:rPr>
              <w:t xml:space="preserve"> </w:t>
            </w:r>
            <w:r w:rsidRPr="00BC552D">
              <w:rPr>
                <w:sz w:val="26"/>
                <w:szCs w:val="26"/>
                <w:rtl/>
              </w:rPr>
              <w:t>חיים שרייבהנד</w:t>
            </w:r>
          </w:p>
          <w:p w:rsidR="00BC7AD4" w:rsidRDefault="00BC7AD4" w:rsidP="00B74305">
            <w:pPr>
              <w:rPr>
                <w:sz w:val="26"/>
                <w:szCs w:val="26"/>
                <w:rtl/>
              </w:rPr>
            </w:pPr>
            <w:r>
              <w:rPr>
                <w:rFonts w:hint="cs"/>
                <w:b/>
                <w:bCs/>
                <w:noProof w:val="0"/>
                <w:sz w:val="26"/>
                <w:szCs w:val="26"/>
                <w:rtl/>
              </w:rPr>
              <w:t>2</w:t>
            </w:r>
            <w:r w:rsidRPr="00CD0055">
              <w:rPr>
                <w:rFonts w:hint="cs"/>
                <w:b/>
                <w:bCs/>
                <w:noProof w:val="0"/>
                <w:sz w:val="26"/>
                <w:szCs w:val="26"/>
                <w:rtl/>
              </w:rPr>
              <w:t>.</w:t>
            </w:r>
            <w:r>
              <w:rPr>
                <w:rFonts w:hint="cs"/>
                <w:b/>
                <w:bCs/>
                <w:noProof w:val="0"/>
                <w:sz w:val="26"/>
                <w:szCs w:val="26"/>
                <w:rtl/>
              </w:rPr>
              <w:t>אלמוני</w:t>
            </w:r>
          </w:p>
          <w:p w:rsidR="00BC7AD4" w:rsidRPr="00CD0055" w:rsidRDefault="00BC7AD4" w:rsidP="00B74305">
            <w:pPr>
              <w:rPr>
                <w:rFonts w:ascii="Arial (W1)" w:hAnsi="Arial (W1)"/>
                <w:b/>
                <w:bCs/>
                <w:noProof w:val="0"/>
                <w:sz w:val="26"/>
                <w:szCs w:val="26"/>
              </w:rPr>
            </w:pPr>
            <w:r>
              <w:rPr>
                <w:rFonts w:hint="cs"/>
                <w:sz w:val="26"/>
                <w:szCs w:val="26"/>
                <w:rtl/>
              </w:rPr>
              <w:t>ע"י ב"כ עו"ד</w:t>
            </w:r>
            <w:r>
              <w:rPr>
                <w:rFonts w:ascii="Arial (W1)" w:hAnsi="Arial (W1)" w:hint="cs"/>
                <w:b/>
                <w:bCs/>
                <w:noProof w:val="0"/>
                <w:sz w:val="26"/>
                <w:szCs w:val="26"/>
                <w:rtl/>
              </w:rPr>
              <w:t xml:space="preserve"> </w:t>
            </w:r>
            <w:r w:rsidRPr="00BC552D">
              <w:rPr>
                <w:sz w:val="26"/>
                <w:szCs w:val="26"/>
                <w:rtl/>
              </w:rPr>
              <w:t>פריד יהודה</w:t>
            </w:r>
          </w:p>
        </w:tc>
      </w:tr>
    </w:tbl>
    <w:p w:rsidR="00BC7AD4" w:rsidRDefault="00BC7AD4" w:rsidP="00BC7AD4">
      <w:pPr>
        <w:suppressLineNumbers/>
        <w:rPr>
          <w:rFonts w:ascii="Arial (W1)" w:hAnsi="Arial (W1)"/>
          <w:sz w:val="28"/>
          <w:szCs w:val="28"/>
          <w:rtl/>
        </w:rPr>
      </w:pPr>
    </w:p>
    <w:p w:rsidR="00BC7AD4" w:rsidRDefault="00BC7AD4" w:rsidP="00BC7AD4">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C7AD4" w:rsidTr="00B74305">
        <w:trPr>
          <w:jc w:val="center"/>
        </w:trPr>
        <w:tc>
          <w:tcPr>
            <w:tcW w:w="8820" w:type="dxa"/>
          </w:tcPr>
          <w:p w:rsidR="00BC7AD4" w:rsidRPr="00BC552D" w:rsidRDefault="00BC7AD4" w:rsidP="00B74305">
            <w:pPr>
              <w:bidi w:val="0"/>
              <w:jc w:val="center"/>
              <w:rPr>
                <w:rFonts w:ascii="Arial" w:hAnsi="Arial"/>
                <w:b/>
                <w:bCs/>
                <w:noProof w:val="0"/>
                <w:sz w:val="38"/>
                <w:szCs w:val="38"/>
                <w:u w:val="single"/>
              </w:rPr>
            </w:pPr>
            <w:r w:rsidRPr="00BC552D">
              <w:rPr>
                <w:rFonts w:ascii="Arial" w:hAnsi="Arial" w:hint="cs"/>
                <w:b/>
                <w:bCs/>
                <w:noProof w:val="0"/>
                <w:sz w:val="38"/>
                <w:szCs w:val="38"/>
                <w:u w:val="single"/>
                <w:rtl/>
              </w:rPr>
              <w:t>החלטה</w:t>
            </w:r>
          </w:p>
        </w:tc>
      </w:tr>
    </w:tbl>
    <w:p w:rsidR="00BC7AD4" w:rsidRDefault="00BC7AD4" w:rsidP="00BC7AD4">
      <w:pPr>
        <w:spacing w:line="360" w:lineRule="auto"/>
        <w:jc w:val="both"/>
        <w:rPr>
          <w:rFonts w:ascii="Arial" w:hAnsi="Arial"/>
          <w:noProof w:val="0"/>
          <w:rtl/>
        </w:rPr>
      </w:pPr>
    </w:p>
    <w:p w:rsidR="00BC7AD4" w:rsidRDefault="00BC7AD4" w:rsidP="00BC7AD4">
      <w:pPr>
        <w:spacing w:line="360" w:lineRule="auto"/>
        <w:jc w:val="both"/>
        <w:rPr>
          <w:rFonts w:ascii="Arial" w:hAnsi="Arial"/>
          <w:noProof w:val="0"/>
          <w:rtl/>
        </w:rPr>
      </w:pPr>
    </w:p>
    <w:p w:rsidR="00BC7AD4" w:rsidRPr="00BC552D" w:rsidRDefault="00BC7AD4" w:rsidP="00BC7AD4">
      <w:pPr>
        <w:spacing w:line="360" w:lineRule="auto"/>
        <w:jc w:val="both"/>
        <w:rPr>
          <w:rFonts w:ascii="Arial" w:hAnsi="Arial"/>
          <w:noProof w:val="0"/>
          <w:rtl/>
        </w:rPr>
      </w:pPr>
      <w:r w:rsidRPr="00BC552D">
        <w:rPr>
          <w:rFonts w:ascii="Arial" w:hAnsi="Arial"/>
          <w:noProof w:val="0"/>
          <w:rtl/>
        </w:rPr>
        <w:t>לפני ערר על החלטת בית משפט קמא (כבוד השופטת א' אמ</w:t>
      </w:r>
      <w:r>
        <w:rPr>
          <w:rFonts w:ascii="Arial" w:hAnsi="Arial"/>
          <w:noProof w:val="0"/>
          <w:rtl/>
        </w:rPr>
        <w:t>סלם גלבוע) שהורה על ביטול צו אי</w:t>
      </w:r>
      <w:r>
        <w:rPr>
          <w:rFonts w:ascii="Arial" w:hAnsi="Arial" w:hint="cs"/>
          <w:noProof w:val="0"/>
          <w:rtl/>
        </w:rPr>
        <w:t>ס</w:t>
      </w:r>
      <w:r w:rsidRPr="00BC552D">
        <w:rPr>
          <w:rFonts w:ascii="Arial" w:hAnsi="Arial"/>
          <w:noProof w:val="0"/>
          <w:rtl/>
        </w:rPr>
        <w:t>ור הפרסום שיצא לפניו, למעט איסור פרסום שמם ופרטיהם המזהים של המשיבים.</w:t>
      </w:r>
    </w:p>
    <w:p w:rsidR="00BC7AD4" w:rsidRPr="00BC552D" w:rsidRDefault="00BC7AD4" w:rsidP="00BC7AD4">
      <w:pPr>
        <w:spacing w:line="360" w:lineRule="auto"/>
        <w:jc w:val="both"/>
        <w:rPr>
          <w:rFonts w:ascii="Arial" w:hAnsi="Arial"/>
          <w:noProof w:val="0"/>
          <w:rtl/>
        </w:rPr>
      </w:pPr>
    </w:p>
    <w:p w:rsidR="00BC7AD4" w:rsidRPr="00BC552D" w:rsidRDefault="00BC7AD4" w:rsidP="00BC7AD4">
      <w:pPr>
        <w:spacing w:line="360" w:lineRule="auto"/>
        <w:jc w:val="both"/>
        <w:rPr>
          <w:rFonts w:ascii="Arial" w:hAnsi="Arial"/>
          <w:noProof w:val="0"/>
          <w:rtl/>
        </w:rPr>
      </w:pPr>
      <w:r w:rsidRPr="00BC552D">
        <w:rPr>
          <w:rFonts w:ascii="Arial" w:hAnsi="Arial"/>
          <w:noProof w:val="0"/>
          <w:rtl/>
        </w:rPr>
        <w:t xml:space="preserve">ביום 15.1.24 הוגשה בקשתה של משטרת ישראל לקיום דיון בדלתיים סגורים ולאיסור את פרסום עניינו של הליך החקירה דכאן, שנטען שהוא קשור לעניינו של הליך אחר (שבגינו הוגש כבר כתב אישום) בגין עבירות שונות, בהן התחזות, החזקת אמצעי לחימה, גניבת נשק והובלת  תחמושת. </w:t>
      </w:r>
    </w:p>
    <w:p w:rsidR="00BC7AD4" w:rsidRPr="00BC552D" w:rsidRDefault="00BC7AD4" w:rsidP="00BC7AD4">
      <w:pPr>
        <w:spacing w:line="360" w:lineRule="auto"/>
        <w:jc w:val="both"/>
        <w:rPr>
          <w:rFonts w:ascii="Arial" w:hAnsi="Arial"/>
          <w:noProof w:val="0"/>
          <w:rtl/>
        </w:rPr>
      </w:pPr>
      <w:r w:rsidRPr="00BC552D">
        <w:rPr>
          <w:rFonts w:ascii="Arial" w:hAnsi="Arial"/>
          <w:noProof w:val="0"/>
          <w:rtl/>
        </w:rPr>
        <w:t xml:space="preserve">נטען בבקשה כי במסגרת אותה חקירה, יש חשד נוסף לעבירה שעניינה רצח. </w:t>
      </w:r>
    </w:p>
    <w:p w:rsidR="00BC7AD4" w:rsidRPr="00BC552D" w:rsidRDefault="00BC7AD4" w:rsidP="00BC7AD4">
      <w:pPr>
        <w:spacing w:line="360" w:lineRule="auto"/>
        <w:jc w:val="both"/>
        <w:rPr>
          <w:rFonts w:ascii="Arial" w:hAnsi="Arial"/>
          <w:noProof w:val="0"/>
          <w:rtl/>
        </w:rPr>
      </w:pPr>
      <w:r w:rsidRPr="00BC552D">
        <w:rPr>
          <w:rFonts w:ascii="Arial" w:hAnsi="Arial"/>
          <w:noProof w:val="0"/>
          <w:rtl/>
        </w:rPr>
        <w:t>בשים לכך שהחקירה היתה בראשיתה, בשלב הסמוי בה, ועוד טרם שנעצרו חשודים, התבקש איסור פרסום כל פרט מפרטי החקירה הכוללים הן את החשדות, שמות החשודים ועצם קיומה של החקירה.</w:t>
      </w:r>
    </w:p>
    <w:p w:rsidR="00BC7AD4" w:rsidRPr="00BC552D" w:rsidRDefault="00BC7AD4" w:rsidP="00BC7AD4">
      <w:pPr>
        <w:spacing w:line="360" w:lineRule="auto"/>
        <w:jc w:val="both"/>
        <w:rPr>
          <w:rFonts w:ascii="Arial" w:hAnsi="Arial"/>
          <w:noProof w:val="0"/>
          <w:rtl/>
        </w:rPr>
      </w:pPr>
      <w:r w:rsidRPr="00BC552D">
        <w:rPr>
          <w:rFonts w:ascii="Arial" w:hAnsi="Arial"/>
          <w:noProof w:val="0"/>
          <w:rtl/>
        </w:rPr>
        <w:t>בית המשפט נעתר לבקשה והוציא מלפניו צו שתוקפו עד ליום 14.2.2024. יצויין שבית משפט קמא אף הורה גם על איסור פרסום עצם קיומו של הצו.</w:t>
      </w:r>
    </w:p>
    <w:p w:rsidR="00BC7AD4" w:rsidRPr="00BC552D" w:rsidRDefault="00BC7AD4" w:rsidP="00BC7AD4">
      <w:pPr>
        <w:spacing w:line="360" w:lineRule="auto"/>
        <w:jc w:val="both"/>
        <w:rPr>
          <w:rFonts w:ascii="Arial" w:hAnsi="Arial"/>
          <w:noProof w:val="0"/>
          <w:rtl/>
        </w:rPr>
      </w:pPr>
      <w:r w:rsidRPr="00BC552D">
        <w:rPr>
          <w:rFonts w:ascii="Arial" w:hAnsi="Arial"/>
          <w:noProof w:val="0"/>
          <w:rtl/>
        </w:rPr>
        <w:t>ביום 8.2.2024 התבקשה ארכה נוספת של הצו, בשל אותם טעמים בבקשה הראשונה, והצו הוארך על ידי בית משפט קמא, וזאת עד ליום 11.8.2024. גם במקרה דנן נאסר פרסומו של עצם קיומו של הצו.</w:t>
      </w:r>
    </w:p>
    <w:p w:rsidR="00BC7AD4" w:rsidRPr="00BC552D" w:rsidRDefault="00BC7AD4" w:rsidP="00BC7AD4">
      <w:pPr>
        <w:spacing w:line="360" w:lineRule="auto"/>
        <w:jc w:val="both"/>
        <w:rPr>
          <w:rFonts w:ascii="Arial" w:hAnsi="Arial"/>
          <w:noProof w:val="0"/>
          <w:rtl/>
        </w:rPr>
      </w:pPr>
      <w:r w:rsidRPr="00BC552D">
        <w:rPr>
          <w:rFonts w:ascii="Arial" w:hAnsi="Arial"/>
          <w:noProof w:val="0"/>
          <w:rtl/>
        </w:rPr>
        <w:t>ביום 2.7.2024 נעצרו חשודים בעבירת הרצח, והם הובאו ביום 3.7.24 לבית המשפט בבקשה להארכת מעצרם. בית המשפט הורה על שחרורם בתנאים. ערר על החלטת בית המשפט נדחתה במסגרת דיון שהתקיים היום לפניי.</w:t>
      </w:r>
    </w:p>
    <w:p w:rsidR="00BC7AD4" w:rsidRPr="00BC552D" w:rsidRDefault="00BC7AD4" w:rsidP="00BC7AD4">
      <w:pPr>
        <w:spacing w:line="360" w:lineRule="auto"/>
        <w:jc w:val="both"/>
        <w:rPr>
          <w:rFonts w:ascii="Arial" w:hAnsi="Arial"/>
          <w:noProof w:val="0"/>
          <w:rtl/>
        </w:rPr>
      </w:pPr>
      <w:r w:rsidRPr="00BC552D">
        <w:rPr>
          <w:rFonts w:ascii="Arial" w:hAnsi="Arial"/>
          <w:noProof w:val="0"/>
          <w:rtl/>
        </w:rPr>
        <w:t xml:space="preserve">המשיב 1 הגיש בקשה להסרת צו איסור הפרסום, בטענה כי לאור עקרון הפומביות, </w:t>
      </w:r>
      <w:r>
        <w:rPr>
          <w:rFonts w:ascii="Arial" w:hAnsi="Arial" w:hint="cs"/>
          <w:noProof w:val="0"/>
          <w:rtl/>
        </w:rPr>
        <w:t>ו</w:t>
      </w:r>
      <w:r w:rsidRPr="00BC552D">
        <w:rPr>
          <w:rFonts w:ascii="Arial" w:hAnsi="Arial"/>
          <w:noProof w:val="0"/>
          <w:rtl/>
        </w:rPr>
        <w:t>זכות הצ</w:t>
      </w:r>
      <w:r>
        <w:rPr>
          <w:rFonts w:ascii="Arial" w:hAnsi="Arial" w:hint="cs"/>
          <w:noProof w:val="0"/>
          <w:rtl/>
        </w:rPr>
        <w:t>י</w:t>
      </w:r>
      <w:r w:rsidRPr="00BC552D">
        <w:rPr>
          <w:rFonts w:ascii="Arial" w:hAnsi="Arial"/>
          <w:noProof w:val="0"/>
          <w:rtl/>
        </w:rPr>
        <w:t>בור לדעת, הרי עצם קיומה של החקירה לא יפגע מפרסום קיומה.</w:t>
      </w:r>
    </w:p>
    <w:p w:rsidR="00BC7AD4" w:rsidRPr="00BC552D" w:rsidRDefault="00BC7AD4" w:rsidP="00BC7AD4">
      <w:pPr>
        <w:spacing w:line="360" w:lineRule="auto"/>
        <w:jc w:val="both"/>
        <w:rPr>
          <w:rFonts w:ascii="Arial" w:hAnsi="Arial"/>
          <w:noProof w:val="0"/>
          <w:rtl/>
        </w:rPr>
      </w:pPr>
      <w:r w:rsidRPr="00BC552D">
        <w:rPr>
          <w:rFonts w:ascii="Arial" w:hAnsi="Arial"/>
          <w:noProof w:val="0"/>
          <w:rtl/>
        </w:rPr>
        <w:lastRenderedPageBreak/>
        <w:t>נטען על ידו כי החקירה הסמויה התנהלה לאורך חודשים ארוכים, כאשר באותה עת היתה הצדקה לקיומו של הצו, ועתה, כשהחקירה יצאה לשלב הגלוי, אין הצדקה להמשך קיומו של הצו, ולבטח לא לתקופה כה ממושכת.</w:t>
      </w:r>
    </w:p>
    <w:p w:rsidR="00BC7AD4" w:rsidRPr="00BC552D" w:rsidRDefault="00BC7AD4" w:rsidP="00BC7AD4">
      <w:pPr>
        <w:spacing w:line="360" w:lineRule="auto"/>
        <w:jc w:val="both"/>
        <w:rPr>
          <w:rFonts w:ascii="Arial" w:hAnsi="Arial"/>
          <w:noProof w:val="0"/>
          <w:rtl/>
        </w:rPr>
      </w:pPr>
      <w:r w:rsidRPr="00BC552D">
        <w:rPr>
          <w:rFonts w:ascii="Arial" w:hAnsi="Arial"/>
          <w:noProof w:val="0"/>
          <w:rtl/>
        </w:rPr>
        <w:t>בקשה דומה הוגשה בכתב מטעמה של התקשורת: מר אברהם בלוך, מטעם עיתון מעריב ביקש להצטרף לאותה בקשה, וחברת חדשות מזרח תיכון בע"מ (באמצעות ב"כ עו"ד מאיה בן גל) הגישה בקשה מטעמה, וגם מר ברהנו טגניה מחדשות 12 שהעלה את הבקשה על-פה לפני בית המשפט קמא.</w:t>
      </w:r>
    </w:p>
    <w:p w:rsidR="00BC7AD4" w:rsidRPr="00BC552D" w:rsidRDefault="00BC7AD4" w:rsidP="00BC7AD4">
      <w:pPr>
        <w:spacing w:line="360" w:lineRule="auto"/>
        <w:jc w:val="both"/>
        <w:rPr>
          <w:rFonts w:ascii="Arial" w:hAnsi="Arial"/>
          <w:noProof w:val="0"/>
          <w:rtl/>
        </w:rPr>
      </w:pPr>
    </w:p>
    <w:p w:rsidR="00BC7AD4" w:rsidRPr="00BC552D" w:rsidRDefault="00BC7AD4" w:rsidP="00BC7AD4">
      <w:pPr>
        <w:spacing w:line="360" w:lineRule="auto"/>
        <w:jc w:val="both"/>
        <w:rPr>
          <w:rFonts w:ascii="Arial" w:hAnsi="Arial"/>
          <w:noProof w:val="0"/>
          <w:rtl/>
        </w:rPr>
      </w:pPr>
      <w:r w:rsidRPr="00BC552D">
        <w:rPr>
          <w:rFonts w:ascii="Arial" w:hAnsi="Arial"/>
          <w:noProof w:val="0"/>
          <w:rtl/>
        </w:rPr>
        <w:t>עוד נטען כי דבר קיומה של הפרשה הודלף ומפורסם וזמין לצפייה ברשת האינטרנט, כאשר גם בערוצי החדשות השונים דווחה קיומה של הפרשה באופן כזה או אחר.</w:t>
      </w:r>
    </w:p>
    <w:p w:rsidR="00BC7AD4" w:rsidRPr="00BC552D" w:rsidRDefault="00BC7AD4" w:rsidP="00BC7AD4">
      <w:pPr>
        <w:spacing w:line="360" w:lineRule="auto"/>
        <w:jc w:val="both"/>
        <w:rPr>
          <w:rFonts w:ascii="Arial" w:hAnsi="Arial"/>
          <w:noProof w:val="0"/>
          <w:rtl/>
        </w:rPr>
      </w:pPr>
    </w:p>
    <w:p w:rsidR="00BC7AD4" w:rsidRPr="00BC552D" w:rsidRDefault="00BC7AD4" w:rsidP="00BC7AD4">
      <w:pPr>
        <w:spacing w:line="360" w:lineRule="auto"/>
        <w:jc w:val="both"/>
        <w:rPr>
          <w:rFonts w:ascii="Arial" w:hAnsi="Arial"/>
          <w:noProof w:val="0"/>
          <w:rtl/>
        </w:rPr>
      </w:pPr>
      <w:r w:rsidRPr="00BC552D">
        <w:rPr>
          <w:rFonts w:ascii="Arial" w:hAnsi="Arial"/>
          <w:noProof w:val="0"/>
          <w:rtl/>
        </w:rPr>
        <w:t xml:space="preserve">בית המשפט קמא קיים דיון, במסגרתו התנגדה משטרת ישראל לביטולו של הצו, אולם הציעה להוציא הודעה לתקשורת בנוסח כללי, אולם לאחר שהמשיבים התנגדו להצעה, הכריע בית המשפט קמא בסופו של דבר </w:t>
      </w:r>
      <w:r>
        <w:rPr>
          <w:rFonts w:ascii="Arial" w:hAnsi="Arial" w:hint="cs"/>
          <w:noProof w:val="0"/>
          <w:rtl/>
        </w:rPr>
        <w:t>וקבע ש</w:t>
      </w:r>
      <w:r w:rsidRPr="00BC552D">
        <w:rPr>
          <w:rFonts w:ascii="Arial" w:hAnsi="Arial"/>
          <w:noProof w:val="0"/>
          <w:rtl/>
        </w:rPr>
        <w:t>הצו שהוצא ביום  8.2.2024 יבוטל וזאת מאחר שהאינטרסים שעמדו עובר למעצרם של המשיבים אינה קיימים עוד, וכן בהעדרם של צרכי חקירה המחייבים המשך קיומו של צו איסור הפרסום.</w:t>
      </w:r>
    </w:p>
    <w:p w:rsidR="00BC7AD4" w:rsidRPr="00BC552D" w:rsidRDefault="00BC7AD4" w:rsidP="00BC7AD4">
      <w:pPr>
        <w:spacing w:line="360" w:lineRule="auto"/>
        <w:jc w:val="both"/>
        <w:rPr>
          <w:rFonts w:ascii="Arial" w:hAnsi="Arial"/>
          <w:noProof w:val="0"/>
          <w:rtl/>
        </w:rPr>
      </w:pPr>
    </w:p>
    <w:p w:rsidR="00BC7AD4" w:rsidRPr="00BC552D" w:rsidRDefault="00BC7AD4" w:rsidP="00BC7AD4">
      <w:pPr>
        <w:spacing w:line="360" w:lineRule="auto"/>
        <w:jc w:val="both"/>
        <w:rPr>
          <w:rFonts w:ascii="Arial" w:hAnsi="Arial"/>
          <w:noProof w:val="0"/>
          <w:rtl/>
        </w:rPr>
      </w:pPr>
      <w:r w:rsidRPr="00BC552D">
        <w:rPr>
          <w:rFonts w:ascii="Arial" w:hAnsi="Arial"/>
          <w:noProof w:val="0"/>
          <w:rtl/>
        </w:rPr>
        <w:t>עיינתי בערר, ולא מצאת בו טעמים מדוע שגה בית משפט קמא ומדוע יש להותיר על כנו את צו איסור הפרסום ב</w:t>
      </w:r>
      <w:r>
        <w:rPr>
          <w:rFonts w:ascii="Arial" w:hAnsi="Arial"/>
          <w:noProof w:val="0"/>
          <w:rtl/>
        </w:rPr>
        <w:t>עת הזו, לאחר שהחקירה הפכה לגלוי</w:t>
      </w:r>
      <w:r w:rsidRPr="00BC552D">
        <w:rPr>
          <w:rFonts w:ascii="Arial" w:hAnsi="Arial"/>
          <w:noProof w:val="0"/>
          <w:rtl/>
        </w:rPr>
        <w:t>ה.</w:t>
      </w:r>
    </w:p>
    <w:p w:rsidR="00BC7AD4" w:rsidRPr="00BC552D" w:rsidRDefault="00BC7AD4" w:rsidP="00BC7AD4">
      <w:pPr>
        <w:spacing w:line="360" w:lineRule="auto"/>
        <w:jc w:val="both"/>
        <w:rPr>
          <w:rFonts w:ascii="Arial" w:hAnsi="Arial"/>
          <w:noProof w:val="0"/>
          <w:rtl/>
        </w:rPr>
      </w:pPr>
      <w:r w:rsidRPr="00BC552D">
        <w:rPr>
          <w:rFonts w:ascii="Arial" w:hAnsi="Arial"/>
          <w:noProof w:val="0"/>
          <w:rtl/>
        </w:rPr>
        <w:t>עקרון פומביות הדיון מופיע בסעיף 3 לחוק יסוד השפיטה. הגבלת פומביות הדיון פוגעת בזכויות ובערכים שונים, בהם פגיעה בחופש הביטוי ובחופש העיתונות. לא יהיה זה למעלה מהצורך להזכיר שחופש הביטוי הוא מהזכויות היסודיות של אדם במדינה דמוקרטית</w:t>
      </w:r>
      <w:r>
        <w:rPr>
          <w:rFonts w:ascii="Arial" w:hAnsi="Arial" w:hint="cs"/>
          <w:noProof w:val="0"/>
          <w:rtl/>
        </w:rPr>
        <w:t xml:space="preserve"> כ</w:t>
      </w:r>
      <w:r w:rsidRPr="00BC552D">
        <w:rPr>
          <w:rFonts w:ascii="Arial" w:hAnsi="Arial"/>
          <w:noProof w:val="0"/>
          <w:rtl/>
        </w:rPr>
        <w:t>יש</w:t>
      </w:r>
      <w:r>
        <w:rPr>
          <w:rFonts w:ascii="Arial" w:hAnsi="Arial"/>
          <w:noProof w:val="0"/>
          <w:rtl/>
        </w:rPr>
        <w:t xml:space="preserve">ראל. "ציפור נפשה של הדמוקרטיה" </w:t>
      </w:r>
      <w:r w:rsidRPr="00BC552D">
        <w:rPr>
          <w:rFonts w:ascii="Arial" w:hAnsi="Arial"/>
          <w:noProof w:val="0"/>
          <w:rtl/>
        </w:rPr>
        <w:t>מהווה חלק מרכזי ממשפט המדינה, ולאורך השנים קבעו בתי המשפט את האיזונים הראויים בין חופש הביטוי והאינטרסים הרלוונטיים האחרים, תוך הענקת משקל רב לחופש הביטוי והפומביות.</w:t>
      </w:r>
    </w:p>
    <w:p w:rsidR="00BC7AD4" w:rsidRPr="00BC552D" w:rsidRDefault="00BC7AD4" w:rsidP="00BC7AD4">
      <w:pPr>
        <w:spacing w:line="360" w:lineRule="auto"/>
        <w:jc w:val="both"/>
        <w:rPr>
          <w:rFonts w:ascii="Arial" w:hAnsi="Arial"/>
          <w:noProof w:val="0"/>
          <w:rtl/>
        </w:rPr>
      </w:pPr>
      <w:r w:rsidRPr="00BC552D">
        <w:rPr>
          <w:rFonts w:ascii="Arial" w:hAnsi="Arial"/>
          <w:noProof w:val="0"/>
          <w:rtl/>
        </w:rPr>
        <w:t xml:space="preserve">הלכה למעשה, ולמרות מגבלות שונות בדין, הפסיקה מכירה בחופש הביטוי, וכתוצאה מכך מזכות הציבור לדעת, לקבל מידע, להפיץ ולחלוק אותו באמצעים שונים (ראו למשל בג"ץ 1/81 </w:t>
      </w:r>
      <w:r w:rsidRPr="005555C3">
        <w:rPr>
          <w:rFonts w:ascii="Arial" w:hAnsi="Arial"/>
          <w:b/>
          <w:bCs/>
          <w:noProof w:val="0"/>
          <w:rtl/>
        </w:rPr>
        <w:t>שירן נ' רשות השידור</w:t>
      </w:r>
      <w:r w:rsidRPr="00BC552D">
        <w:rPr>
          <w:rFonts w:ascii="Arial" w:hAnsi="Arial"/>
          <w:noProof w:val="0"/>
          <w:rtl/>
        </w:rPr>
        <w:t>, פ"ד לה 3, 365).</w:t>
      </w:r>
    </w:p>
    <w:p w:rsidR="00BC7AD4" w:rsidRPr="00BC552D" w:rsidRDefault="00BC7AD4" w:rsidP="00BC7AD4">
      <w:pPr>
        <w:spacing w:line="360" w:lineRule="auto"/>
        <w:jc w:val="both"/>
        <w:rPr>
          <w:rFonts w:ascii="Arial" w:hAnsi="Arial"/>
          <w:noProof w:val="0"/>
          <w:rtl/>
        </w:rPr>
      </w:pPr>
    </w:p>
    <w:p w:rsidR="00BC7AD4" w:rsidRPr="00BC552D" w:rsidRDefault="00BC7AD4" w:rsidP="00BC7AD4">
      <w:pPr>
        <w:spacing w:line="360" w:lineRule="auto"/>
        <w:jc w:val="both"/>
        <w:rPr>
          <w:rFonts w:ascii="Arial" w:hAnsi="Arial"/>
          <w:noProof w:val="0"/>
          <w:rtl/>
        </w:rPr>
      </w:pPr>
      <w:r w:rsidRPr="00BC552D">
        <w:rPr>
          <w:rFonts w:ascii="Arial" w:hAnsi="Arial"/>
          <w:noProof w:val="0"/>
          <w:rtl/>
        </w:rPr>
        <w:t xml:space="preserve">מכל מקום ולענייננו – תקינות ההליך השיפוטי מחייבת כי ההליך יתנהל באופן פומבי, אולם אין עקרון זה שוכן בחלל משפטי ריק, וככל עקרון משפטי, קיימים לצדו חריגים, שמקורם באיזון שבין פומביות הדיון לבין אינטרסים נוגדים אחרים שיש בכוחם להצדיק הגבלתו (ראו: </w:t>
      </w:r>
      <w:r w:rsidRPr="005555C3">
        <w:rPr>
          <w:rFonts w:ascii="Arial" w:hAnsi="Arial"/>
          <w:b/>
          <w:bCs/>
          <w:noProof w:val="0"/>
          <w:rtl/>
        </w:rPr>
        <w:t xml:space="preserve">בש"פ 567514 פלונית נ' היועמ"ש </w:t>
      </w:r>
      <w:r w:rsidRPr="00BC552D">
        <w:rPr>
          <w:rFonts w:ascii="Arial" w:hAnsi="Arial"/>
          <w:noProof w:val="0"/>
          <w:rtl/>
        </w:rPr>
        <w:t>(10.9.2014), ואכן הוראות חוק בתי המשפט קובעות בסעיפים 68(ב) ו68(ג) מספר חריגים לכלל האמור.</w:t>
      </w:r>
    </w:p>
    <w:p w:rsidR="00BC7AD4" w:rsidRPr="00BC552D" w:rsidRDefault="00BC7AD4" w:rsidP="00BC7AD4">
      <w:pPr>
        <w:spacing w:line="360" w:lineRule="auto"/>
        <w:jc w:val="both"/>
        <w:rPr>
          <w:rFonts w:ascii="Arial" w:hAnsi="Arial"/>
          <w:noProof w:val="0"/>
          <w:rtl/>
        </w:rPr>
      </w:pPr>
    </w:p>
    <w:p w:rsidR="00BC7AD4" w:rsidRPr="00BC552D" w:rsidRDefault="00BC7AD4" w:rsidP="00BC7AD4">
      <w:pPr>
        <w:spacing w:line="360" w:lineRule="auto"/>
        <w:jc w:val="both"/>
        <w:rPr>
          <w:rFonts w:ascii="Arial" w:hAnsi="Arial"/>
          <w:noProof w:val="0"/>
          <w:rtl/>
        </w:rPr>
      </w:pPr>
      <w:r w:rsidRPr="00BC552D">
        <w:rPr>
          <w:rFonts w:ascii="Arial" w:hAnsi="Arial"/>
          <w:noProof w:val="0"/>
          <w:rtl/>
        </w:rPr>
        <w:lastRenderedPageBreak/>
        <w:t xml:space="preserve">יחד עם זאת בשל חשיבותו של עקרון פומביות הדיון, נפסק כי הוא נהנה ממעמד של בכורה וכי </w:t>
      </w:r>
      <w:r>
        <w:rPr>
          <w:rFonts w:ascii="Arial" w:hAnsi="Arial" w:hint="cs"/>
          <w:noProof w:val="0"/>
          <w:rtl/>
        </w:rPr>
        <w:t>ה</w:t>
      </w:r>
      <w:r w:rsidRPr="00BC552D">
        <w:rPr>
          <w:rFonts w:ascii="Arial" w:hAnsi="Arial"/>
          <w:noProof w:val="0"/>
          <w:rtl/>
        </w:rPr>
        <w:t>חר</w:t>
      </w:r>
      <w:r>
        <w:rPr>
          <w:rFonts w:ascii="Arial" w:hAnsi="Arial"/>
          <w:noProof w:val="0"/>
          <w:rtl/>
        </w:rPr>
        <w:t>יגים ייושמו על דרך הצמצום ולאחר</w:t>
      </w:r>
      <w:r w:rsidRPr="00BC552D">
        <w:rPr>
          <w:rFonts w:ascii="Arial" w:hAnsi="Arial"/>
          <w:noProof w:val="0"/>
          <w:rtl/>
        </w:rPr>
        <w:t xml:space="preserve"> שקילה קפדנית וזהירה (ראו 3205/13 </w:t>
      </w:r>
      <w:r w:rsidRPr="005555C3">
        <w:rPr>
          <w:rFonts w:ascii="Arial" w:hAnsi="Arial"/>
          <w:b/>
          <w:bCs/>
          <w:noProof w:val="0"/>
          <w:rtl/>
        </w:rPr>
        <w:t>פלוני נ' מדינת ישראל</w:t>
      </w:r>
      <w:r w:rsidRPr="00BC552D">
        <w:rPr>
          <w:rFonts w:ascii="Arial" w:hAnsi="Arial"/>
          <w:noProof w:val="0"/>
          <w:rtl/>
        </w:rPr>
        <w:t>, 16.5.2013).</w:t>
      </w:r>
    </w:p>
    <w:p w:rsidR="00BC7AD4" w:rsidRPr="00BC552D" w:rsidRDefault="00BC7AD4" w:rsidP="00BC7AD4">
      <w:pPr>
        <w:spacing w:line="360" w:lineRule="auto"/>
        <w:jc w:val="both"/>
        <w:rPr>
          <w:rFonts w:ascii="Arial" w:hAnsi="Arial"/>
          <w:noProof w:val="0"/>
          <w:rtl/>
        </w:rPr>
      </w:pPr>
    </w:p>
    <w:p w:rsidR="00BC7AD4" w:rsidRPr="00BC552D" w:rsidRDefault="00BC7AD4" w:rsidP="00BC7AD4">
      <w:pPr>
        <w:spacing w:line="360" w:lineRule="auto"/>
        <w:jc w:val="both"/>
        <w:rPr>
          <w:rFonts w:ascii="Arial" w:hAnsi="Arial"/>
          <w:noProof w:val="0"/>
          <w:rtl/>
        </w:rPr>
      </w:pPr>
      <w:r w:rsidRPr="00BC552D">
        <w:rPr>
          <w:rFonts w:ascii="Arial" w:hAnsi="Arial"/>
          <w:noProof w:val="0"/>
          <w:rtl/>
        </w:rPr>
        <w:t xml:space="preserve">על פי פסיקת בית המשפט העליון, על המבקש קיום בדלתיים סגורות להצביע על נזקים כבדים במיוחד אשר עלולים להיגרם לו כתוצאה מהפרסום (בש"פ 7367/11 </w:t>
      </w:r>
      <w:r w:rsidRPr="005555C3">
        <w:rPr>
          <w:rFonts w:ascii="Arial" w:hAnsi="Arial"/>
          <w:b/>
          <w:bCs/>
          <w:noProof w:val="0"/>
          <w:rtl/>
        </w:rPr>
        <w:t>פלוני נ' מדינת ישראל</w:t>
      </w:r>
      <w:r w:rsidRPr="00BC552D">
        <w:rPr>
          <w:rFonts w:ascii="Arial" w:hAnsi="Arial"/>
          <w:noProof w:val="0"/>
          <w:rtl/>
        </w:rPr>
        <w:t xml:space="preserve"> (11.10.2011), וכאלה לא נטענו אלא באופן כללי וסתמי.</w:t>
      </w:r>
    </w:p>
    <w:p w:rsidR="00BC7AD4" w:rsidRPr="00BC552D" w:rsidRDefault="00BC7AD4" w:rsidP="00BC7AD4">
      <w:pPr>
        <w:spacing w:line="360" w:lineRule="auto"/>
        <w:jc w:val="both"/>
        <w:rPr>
          <w:rFonts w:ascii="Arial" w:hAnsi="Arial"/>
          <w:noProof w:val="0"/>
          <w:rtl/>
        </w:rPr>
      </w:pPr>
    </w:p>
    <w:p w:rsidR="00BC7AD4" w:rsidRPr="00BC552D" w:rsidRDefault="00BC7AD4" w:rsidP="00BC7AD4">
      <w:pPr>
        <w:spacing w:line="360" w:lineRule="auto"/>
        <w:jc w:val="both"/>
        <w:rPr>
          <w:rFonts w:ascii="Arial" w:hAnsi="Arial"/>
          <w:noProof w:val="0"/>
          <w:rtl/>
        </w:rPr>
      </w:pPr>
      <w:r w:rsidRPr="00BC552D">
        <w:rPr>
          <w:rFonts w:ascii="Arial" w:hAnsi="Arial"/>
          <w:noProof w:val="0"/>
          <w:rtl/>
        </w:rPr>
        <w:t>בענייננו – הטעמים שעמדו בבסיס הוצאת הצווים מיום 15.1.2024 וכן מיום 8.2.2024 אינם עוד. החקירה הסמויה הפכה לגלויה, כך שהטעם כי עצם פרסום החקירה הסמויה ע</w:t>
      </w:r>
      <w:r>
        <w:rPr>
          <w:rFonts w:ascii="Arial" w:hAnsi="Arial"/>
          <w:noProof w:val="0"/>
          <w:rtl/>
        </w:rPr>
        <w:t xml:space="preserve">לול לשבש את החקירה איננו קיים. </w:t>
      </w:r>
      <w:r w:rsidRPr="00BC552D">
        <w:rPr>
          <w:rFonts w:ascii="Arial" w:hAnsi="Arial"/>
          <w:noProof w:val="0"/>
          <w:rtl/>
        </w:rPr>
        <w:t>גם ההסכמה של המשטרה לפרסם הודעה כללית לתקשורת מלמדת כי אין עוד טעם של ממש בקיומו של צו איסור הפרסום.</w:t>
      </w:r>
    </w:p>
    <w:p w:rsidR="00BC7AD4" w:rsidRPr="00BC552D" w:rsidRDefault="00BC7AD4" w:rsidP="00BC7AD4">
      <w:pPr>
        <w:spacing w:line="360" w:lineRule="auto"/>
        <w:jc w:val="both"/>
        <w:rPr>
          <w:rFonts w:ascii="Arial" w:hAnsi="Arial"/>
          <w:noProof w:val="0"/>
          <w:rtl/>
        </w:rPr>
      </w:pPr>
      <w:r w:rsidRPr="00BC552D">
        <w:rPr>
          <w:rFonts w:ascii="Arial" w:hAnsi="Arial"/>
          <w:noProof w:val="0"/>
          <w:rtl/>
        </w:rPr>
        <w:t>הטענה כי פרסום גורף, מעבר לאותה הודעה כללית, עלול לפגוע בצרכי החקירה, נדחה על ידי בית משפט קבע שקבע שמאחר שהיה מודע לחומרי החקירה שהוצגו לו בכללותם והם מוכרים לו לאחר שעיין בהם, הרי לא נמצאו צורכי חקירה חדשים או כאלה המחייבים את המשך קיומו של הצו. לא נפלה שגגה במסקנה זו של בית משפט קמא, כאשר האמירה כי צרכי החקירה ייפגעו נאמרה באופן כללי ובהעדר פ</w:t>
      </w:r>
      <w:r>
        <w:rPr>
          <w:rFonts w:ascii="Arial" w:hAnsi="Arial" w:hint="cs"/>
          <w:noProof w:val="0"/>
          <w:rtl/>
        </w:rPr>
        <w:t>י</w:t>
      </w:r>
      <w:r w:rsidRPr="00BC552D">
        <w:rPr>
          <w:rFonts w:ascii="Arial" w:hAnsi="Arial"/>
          <w:noProof w:val="0"/>
          <w:rtl/>
        </w:rPr>
        <w:t>רוט.</w:t>
      </w:r>
    </w:p>
    <w:p w:rsidR="00BC7AD4" w:rsidRPr="00BC552D" w:rsidRDefault="00BC7AD4" w:rsidP="00BC7AD4">
      <w:pPr>
        <w:spacing w:line="360" w:lineRule="auto"/>
        <w:jc w:val="both"/>
        <w:rPr>
          <w:rFonts w:ascii="Arial" w:hAnsi="Arial"/>
          <w:noProof w:val="0"/>
          <w:rtl/>
        </w:rPr>
      </w:pPr>
    </w:p>
    <w:p w:rsidR="00BC7AD4" w:rsidRPr="00BC552D" w:rsidRDefault="00BC7AD4" w:rsidP="00BC7AD4">
      <w:pPr>
        <w:spacing w:line="360" w:lineRule="auto"/>
        <w:jc w:val="both"/>
        <w:rPr>
          <w:rFonts w:ascii="Arial" w:hAnsi="Arial"/>
          <w:noProof w:val="0"/>
          <w:rtl/>
        </w:rPr>
      </w:pPr>
      <w:r w:rsidRPr="00BC552D">
        <w:rPr>
          <w:rFonts w:ascii="Arial" w:hAnsi="Arial"/>
          <w:noProof w:val="0"/>
          <w:rtl/>
        </w:rPr>
        <w:t xml:space="preserve">זאת ועוד; הפרשה פורסמה כבר ברשתות תקשורת וברחבי האינטרנט באופן כזה או אחר. </w:t>
      </w:r>
    </w:p>
    <w:p w:rsidR="00BC7AD4" w:rsidRPr="00BC552D" w:rsidRDefault="00BC7AD4" w:rsidP="00BC7AD4">
      <w:pPr>
        <w:spacing w:line="360" w:lineRule="auto"/>
        <w:jc w:val="both"/>
        <w:rPr>
          <w:rFonts w:ascii="Arial" w:hAnsi="Arial"/>
          <w:noProof w:val="0"/>
          <w:rtl/>
        </w:rPr>
      </w:pPr>
      <w:r w:rsidRPr="00BC552D">
        <w:rPr>
          <w:rFonts w:ascii="Arial" w:hAnsi="Arial"/>
          <w:noProof w:val="0"/>
          <w:rtl/>
        </w:rPr>
        <w:t>מה הטעם בהשארת הצו על כנו, עתה מש</w:t>
      </w:r>
      <w:r>
        <w:rPr>
          <w:rFonts w:ascii="Arial" w:hAnsi="Arial" w:hint="cs"/>
          <w:noProof w:val="0"/>
          <w:rtl/>
        </w:rPr>
        <w:t>'</w:t>
      </w:r>
      <w:r w:rsidRPr="00BC552D">
        <w:rPr>
          <w:rFonts w:ascii="Arial" w:hAnsi="Arial"/>
          <w:noProof w:val="0"/>
          <w:rtl/>
        </w:rPr>
        <w:t>הסוסים ברחו מן האורווה</w:t>
      </w:r>
      <w:r>
        <w:rPr>
          <w:rFonts w:ascii="Arial" w:hAnsi="Arial" w:hint="cs"/>
          <w:noProof w:val="0"/>
          <w:rtl/>
        </w:rPr>
        <w:t>'</w:t>
      </w:r>
      <w:r w:rsidRPr="00BC552D">
        <w:rPr>
          <w:rFonts w:ascii="Arial" w:hAnsi="Arial"/>
          <w:noProof w:val="0"/>
          <w:rtl/>
        </w:rPr>
        <w:t xml:space="preserve">? </w:t>
      </w:r>
    </w:p>
    <w:p w:rsidR="00BC7AD4" w:rsidRPr="00BC552D" w:rsidRDefault="00BC7AD4" w:rsidP="00BC7AD4">
      <w:pPr>
        <w:spacing w:line="360" w:lineRule="auto"/>
        <w:jc w:val="both"/>
        <w:rPr>
          <w:rFonts w:ascii="Arial" w:hAnsi="Arial"/>
          <w:noProof w:val="0"/>
          <w:rtl/>
        </w:rPr>
      </w:pPr>
      <w:r w:rsidRPr="00BC552D">
        <w:rPr>
          <w:rFonts w:ascii="Arial" w:hAnsi="Arial"/>
          <w:noProof w:val="0"/>
          <w:rtl/>
        </w:rPr>
        <w:t xml:space="preserve">הרי במצב דברים זה, כשפרטי הפרשה, במרביתם, פורסמו ומצויים במרשתת, נוטה הכף לטובת הפרסום (ראו רע"פ 7276/16 </w:t>
      </w:r>
      <w:r w:rsidRPr="00C10165">
        <w:rPr>
          <w:rFonts w:ascii="Arial" w:hAnsi="Arial"/>
          <w:b/>
          <w:bCs/>
          <w:noProof w:val="0"/>
          <w:rtl/>
        </w:rPr>
        <w:t>פינטו נ' מדינת ישראל</w:t>
      </w:r>
      <w:r w:rsidRPr="00BC552D">
        <w:rPr>
          <w:rFonts w:ascii="Arial" w:hAnsi="Arial"/>
          <w:noProof w:val="0"/>
          <w:rtl/>
        </w:rPr>
        <w:t>, 12.1.2013פסקה 12).</w:t>
      </w:r>
    </w:p>
    <w:p w:rsidR="00BC7AD4" w:rsidRDefault="00BC7AD4" w:rsidP="00BC7AD4">
      <w:pPr>
        <w:spacing w:line="360" w:lineRule="auto"/>
        <w:jc w:val="both"/>
        <w:rPr>
          <w:rFonts w:ascii="Arial" w:hAnsi="Arial"/>
          <w:noProof w:val="0"/>
          <w:rtl/>
        </w:rPr>
      </w:pPr>
    </w:p>
    <w:p w:rsidR="00BC7AD4" w:rsidRPr="00BC552D" w:rsidRDefault="00BC7AD4" w:rsidP="00BC7AD4">
      <w:pPr>
        <w:spacing w:line="360" w:lineRule="auto"/>
        <w:jc w:val="both"/>
        <w:rPr>
          <w:rFonts w:ascii="Arial" w:hAnsi="Arial"/>
          <w:noProof w:val="0"/>
          <w:rtl/>
        </w:rPr>
      </w:pPr>
      <w:r w:rsidRPr="00BC552D">
        <w:rPr>
          <w:rFonts w:ascii="Arial" w:hAnsi="Arial"/>
          <w:noProof w:val="0"/>
          <w:rtl/>
        </w:rPr>
        <w:t xml:space="preserve">במקרה דנן – זכות הציבור לדעת על הפרשה ועל החקירה המתנהלת, במיוחד עת עברה לשלב הגלוי שבה. </w:t>
      </w:r>
    </w:p>
    <w:p w:rsidR="00BC7AD4" w:rsidRPr="00BC552D" w:rsidRDefault="00BC7AD4" w:rsidP="00BC7AD4">
      <w:pPr>
        <w:spacing w:line="360" w:lineRule="auto"/>
        <w:jc w:val="both"/>
        <w:rPr>
          <w:rFonts w:ascii="Arial" w:hAnsi="Arial"/>
          <w:noProof w:val="0"/>
          <w:rtl/>
        </w:rPr>
      </w:pPr>
      <w:r w:rsidRPr="00BC552D">
        <w:rPr>
          <w:rFonts w:ascii="Arial" w:hAnsi="Arial"/>
          <w:noProof w:val="0"/>
          <w:rtl/>
        </w:rPr>
        <w:t>המדובר בפרשה רגישה ומורכבת. משפורסמו חלקים ממנה, הרי האינטרס המצדיק הותרת צו איסור הפרסום על כנו נחלש, באופן שמטה אך הכף לטובת התרת הפרסום. נדמה שפרסום מדויק ונכון עשוי למנוע שמועות לא נכונות. זכות הציבור לדעת, משמעה זכותו לדעת את האמת, כך שפרסומים לא נכונים, אשר מורכבים מחלקי אמיתות כרוך בפגיעה קשה אף יותר בזכות זו של הציבור.</w:t>
      </w:r>
    </w:p>
    <w:p w:rsidR="00BC7AD4" w:rsidRPr="00BC552D" w:rsidRDefault="00BC7AD4" w:rsidP="00BC7AD4">
      <w:pPr>
        <w:spacing w:line="360" w:lineRule="auto"/>
        <w:jc w:val="both"/>
        <w:rPr>
          <w:rFonts w:ascii="Arial" w:hAnsi="Arial"/>
          <w:noProof w:val="0"/>
          <w:rtl/>
        </w:rPr>
      </w:pPr>
      <w:r w:rsidRPr="00BC552D">
        <w:rPr>
          <w:rFonts w:ascii="Arial" w:hAnsi="Arial"/>
          <w:noProof w:val="0"/>
          <w:rtl/>
        </w:rPr>
        <w:t xml:space="preserve">צו איסור הפרסום ניתן עד ידי בית משפט קמא לפרק זמן של 6 חודשים: כשלעצמי, אני סבור שבשים לב </w:t>
      </w:r>
      <w:r>
        <w:rPr>
          <w:rFonts w:ascii="Arial" w:hAnsi="Arial" w:hint="cs"/>
          <w:noProof w:val="0"/>
          <w:rtl/>
        </w:rPr>
        <w:t xml:space="preserve">לכך </w:t>
      </w:r>
      <w:r w:rsidRPr="00BC552D">
        <w:rPr>
          <w:rFonts w:ascii="Arial" w:hAnsi="Arial"/>
          <w:noProof w:val="0"/>
          <w:rtl/>
        </w:rPr>
        <w:t>שצווי איסור הפרסום ניתנים על ידי בית המשפט במעמד צד אחד, נכון שאלה יינתנו  לתקופות קצובות ושאינן ארוכות, וזאת על מנת שלכל</w:t>
      </w:r>
      <w:r>
        <w:rPr>
          <w:rFonts w:ascii="Arial" w:hAnsi="Arial"/>
          <w:noProof w:val="0"/>
          <w:rtl/>
        </w:rPr>
        <w:t xml:space="preserve"> הפחות ניתן יהיה לעקוב אחרי המש</w:t>
      </w:r>
      <w:r w:rsidRPr="00BC552D">
        <w:rPr>
          <w:rFonts w:ascii="Arial" w:hAnsi="Arial"/>
          <w:noProof w:val="0"/>
          <w:rtl/>
        </w:rPr>
        <w:t>ך הנחיצות ועל מנת שתתקיים ביק</w:t>
      </w:r>
      <w:r>
        <w:rPr>
          <w:rFonts w:ascii="Arial" w:hAnsi="Arial" w:hint="cs"/>
          <w:noProof w:val="0"/>
          <w:rtl/>
        </w:rPr>
        <w:t>ו</w:t>
      </w:r>
      <w:r>
        <w:rPr>
          <w:rFonts w:ascii="Arial" w:hAnsi="Arial"/>
          <w:noProof w:val="0"/>
          <w:rtl/>
        </w:rPr>
        <w:t>ר</w:t>
      </w:r>
      <w:r w:rsidRPr="00BC552D">
        <w:rPr>
          <w:rFonts w:ascii="Arial" w:hAnsi="Arial"/>
          <w:noProof w:val="0"/>
          <w:rtl/>
        </w:rPr>
        <w:t>ת שיפוטית ראויה עליהם.</w:t>
      </w:r>
    </w:p>
    <w:p w:rsidR="00BC7AD4" w:rsidRPr="00BC552D" w:rsidRDefault="00BC7AD4" w:rsidP="00BC7AD4">
      <w:pPr>
        <w:spacing w:line="360" w:lineRule="auto"/>
        <w:jc w:val="both"/>
        <w:rPr>
          <w:rFonts w:ascii="Arial" w:hAnsi="Arial"/>
          <w:noProof w:val="0"/>
          <w:rtl/>
        </w:rPr>
      </w:pPr>
    </w:p>
    <w:p w:rsidR="00BC7AD4" w:rsidRPr="00BC552D" w:rsidRDefault="00BC7AD4" w:rsidP="00BC7AD4">
      <w:pPr>
        <w:spacing w:line="360" w:lineRule="auto"/>
        <w:jc w:val="both"/>
        <w:rPr>
          <w:rFonts w:ascii="Arial" w:hAnsi="Arial"/>
          <w:noProof w:val="0"/>
          <w:rtl/>
        </w:rPr>
      </w:pPr>
      <w:r w:rsidRPr="00BC552D">
        <w:rPr>
          <w:rFonts w:ascii="Arial" w:hAnsi="Arial"/>
          <w:noProof w:val="0"/>
          <w:rtl/>
        </w:rPr>
        <w:t>מכל האמור לעיל, הערר נדחה, וצו איסור הפרסום יבוטל, למעט  איסור פרסום השמות של החשודים וכן פרטים מזהים שלהם.</w:t>
      </w:r>
    </w:p>
    <w:p w:rsidR="00BC7AD4" w:rsidRDefault="00BC7AD4" w:rsidP="00BC7AD4">
      <w:pPr>
        <w:spacing w:line="360" w:lineRule="auto"/>
        <w:jc w:val="both"/>
        <w:rPr>
          <w:rFonts w:ascii="Arial" w:hAnsi="Arial"/>
          <w:noProof w:val="0"/>
          <w:rtl/>
        </w:rPr>
      </w:pPr>
    </w:p>
    <w:p w:rsidR="00BC7AD4" w:rsidRPr="00BC552D" w:rsidRDefault="00BC7AD4" w:rsidP="00BC7AD4">
      <w:pPr>
        <w:spacing w:line="360" w:lineRule="auto"/>
        <w:jc w:val="both"/>
        <w:rPr>
          <w:rFonts w:ascii="Arial" w:hAnsi="Arial"/>
          <w:b/>
          <w:bCs/>
          <w:noProof w:val="0"/>
          <w:rtl/>
        </w:rPr>
      </w:pPr>
      <w:r w:rsidRPr="00BC552D">
        <w:rPr>
          <w:rFonts w:ascii="Arial" w:hAnsi="Arial"/>
          <w:b/>
          <w:bCs/>
          <w:noProof w:val="0"/>
          <w:rtl/>
        </w:rPr>
        <w:t>נית</w:t>
      </w:r>
      <w:r w:rsidRPr="00BC552D">
        <w:rPr>
          <w:rFonts w:ascii="Arial" w:hAnsi="Arial" w:hint="cs"/>
          <w:b/>
          <w:bCs/>
          <w:noProof w:val="0"/>
          <w:rtl/>
        </w:rPr>
        <w:t>נה</w:t>
      </w:r>
      <w:r w:rsidRPr="00BC552D">
        <w:rPr>
          <w:rFonts w:ascii="Arial" w:hAnsi="Arial"/>
          <w:b/>
          <w:bCs/>
          <w:noProof w:val="0"/>
          <w:rtl/>
        </w:rPr>
        <w:t xml:space="preserve"> היום,  כ"ח סיוון תשפ"ד, 04 יולי 2024.</w:t>
      </w:r>
    </w:p>
    <w:p w:rsidR="00BC7AD4" w:rsidRDefault="00BC7AD4" w:rsidP="00BC7AD4">
      <w:pPr>
        <w:spacing w:line="360" w:lineRule="auto"/>
        <w:jc w:val="both"/>
        <w:rPr>
          <w:rtl/>
        </w:rPr>
      </w:pPr>
      <w:r>
        <w:drawing>
          <wp:anchor distT="0" distB="0" distL="114300" distR="114300" simplePos="0" relativeHeight="251659264" behindDoc="0" locked="0" layoutInCell="1" allowOverlap="1" wp14:anchorId="4B8BB3F8" wp14:editId="49841FEA">
            <wp:simplePos x="0" y="0"/>
            <wp:positionH relativeFrom="column">
              <wp:posOffset>1047750</wp:posOffset>
            </wp:positionH>
            <wp:positionV relativeFrom="paragraph">
              <wp:posOffset>10160</wp:posOffset>
            </wp:positionV>
            <wp:extent cx="1066800" cy="806450"/>
            <wp:effectExtent l="0" t="0" r="0" b="0"/>
            <wp:wrapNone/>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21788" t="52677" r="69785" b="24661"/>
                    <a:stretch/>
                  </pic:blipFill>
                  <pic:spPr bwMode="auto">
                    <a:xfrm>
                      <a:off x="0" y="0"/>
                      <a:ext cx="1066800" cy="8064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C7AD4" w:rsidRDefault="00BC7AD4" w:rsidP="00BC7AD4">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r>
        <w:rPr>
          <w:rFonts w:ascii="Arial" w:hAnsi="Arial" w:hint="cs"/>
          <w:noProof w:val="0"/>
          <w:rtl/>
        </w:rPr>
        <w:tab/>
      </w:r>
      <w:r>
        <w:rPr>
          <w:rFonts w:ascii="Arial" w:hAnsi="Arial" w:hint="cs"/>
          <w:noProof w:val="0"/>
          <w:rtl/>
        </w:rPr>
        <w:tab/>
      </w:r>
      <w:r>
        <w:rPr>
          <w:rFonts w:ascii="Arial" w:hAnsi="Arial"/>
          <w:noProof w:val="0"/>
          <w:rtl/>
        </w:rPr>
        <w:t xml:space="preserve"> </w:t>
      </w:r>
    </w:p>
    <w:p w:rsidR="00BC7AD4" w:rsidRDefault="00BC7AD4" w:rsidP="00BC7AD4">
      <w:pPr>
        <w:spacing w:line="360" w:lineRule="auto"/>
        <w:jc w:val="both"/>
        <w:rPr>
          <w:rFonts w:ascii="Arial" w:hAnsi="Arial"/>
          <w:noProof w:val="0"/>
          <w:rtl/>
        </w:rPr>
      </w:pPr>
    </w:p>
    <w:p w:rsidR="00BC7AD4" w:rsidRDefault="00BC7AD4" w:rsidP="00BC7AD4">
      <w:pPr>
        <w:spacing w:line="360" w:lineRule="auto"/>
        <w:jc w:val="both"/>
        <w:rPr>
          <w:rFonts w:ascii="Arial" w:hAnsi="Arial"/>
          <w:noProof w:val="0"/>
          <w:rtl/>
        </w:rPr>
      </w:pPr>
    </w:p>
    <w:p w:rsidR="00BC7AD4" w:rsidRPr="00CA1B99" w:rsidRDefault="00BC7AD4" w:rsidP="00BC7AD4">
      <w:pPr>
        <w:tabs>
          <w:tab w:val="left" w:pos="5197"/>
        </w:tabs>
        <w:spacing w:line="360" w:lineRule="auto"/>
        <w:jc w:val="both"/>
        <w:rPr>
          <w:rFonts w:ascii="Arial" w:hAnsi="Arial"/>
          <w:b/>
          <w:bCs/>
          <w:noProof w:val="0"/>
          <w:rtl/>
        </w:rPr>
      </w:pPr>
      <w:r>
        <w:rPr>
          <w:rFonts w:ascii="Arial" w:hAnsi="Arial"/>
          <w:noProof w:val="0"/>
          <w:rtl/>
        </w:rPr>
        <w:tab/>
      </w:r>
      <w:r w:rsidRPr="00CA1B99">
        <w:rPr>
          <w:rFonts w:ascii="Arial" w:hAnsi="Arial" w:hint="cs"/>
          <w:b/>
          <w:bCs/>
          <w:noProof w:val="0"/>
          <w:rtl/>
        </w:rPr>
        <w:t>עודד מאור, שופט</w:t>
      </w:r>
    </w:p>
    <w:p w:rsidR="00BC7AD4" w:rsidRDefault="00BC7AD4" w:rsidP="00BC7AD4">
      <w:pPr>
        <w:spacing w:line="360" w:lineRule="auto"/>
        <w:jc w:val="both"/>
        <w:rPr>
          <w:rFonts w:ascii="Arial" w:hAnsi="Arial"/>
          <w:noProof w:val="0"/>
          <w:rtl/>
        </w:rPr>
      </w:pPr>
    </w:p>
    <w:p w:rsidR="00BC7AD4" w:rsidRDefault="00BC7AD4" w:rsidP="00BC7AD4">
      <w:pPr>
        <w:spacing w:line="360" w:lineRule="auto"/>
        <w:jc w:val="both"/>
        <w:rPr>
          <w:rFonts w:ascii="Arial" w:hAnsi="Arial"/>
          <w:noProof w:val="0"/>
          <w:rtl/>
        </w:rPr>
      </w:pPr>
    </w:p>
    <w:p w:rsidR="00BC7AD4" w:rsidRPr="00F33256" w:rsidRDefault="00BC7AD4" w:rsidP="00BC7AD4">
      <w:pPr>
        <w:spacing w:line="360" w:lineRule="auto"/>
        <w:jc w:val="both"/>
        <w:rPr>
          <w:rFonts w:ascii="Arial" w:hAnsi="Arial"/>
          <w:b/>
          <w:bCs/>
          <w:noProof w:val="0"/>
          <w:sz w:val="22"/>
          <w:szCs w:val="22"/>
        </w:rPr>
      </w:pPr>
      <w:r w:rsidRPr="00F33256">
        <w:rPr>
          <w:rFonts w:ascii="Arial" w:hAnsi="Arial"/>
          <w:b/>
          <w:bCs/>
          <w:noProof w:val="0"/>
          <w:sz w:val="22"/>
          <w:szCs w:val="22"/>
          <w:rtl/>
        </w:rPr>
        <w:t>גרסה מותרת לפרסום לאחר ביטול צו איסור הפרסום.</w:t>
      </w:r>
    </w:p>
    <w:p w:rsidR="00BC7AD4" w:rsidRDefault="00BC7AD4" w:rsidP="00BC7AD4">
      <w:pPr>
        <w:spacing w:line="360" w:lineRule="auto"/>
        <w:jc w:val="both"/>
        <w:rPr>
          <w:rFonts w:ascii="Arial" w:hAnsi="Arial"/>
          <w:noProof w:val="0"/>
          <w:rtl/>
        </w:rPr>
      </w:pPr>
    </w:p>
    <w:p w:rsidR="00BC7AD4" w:rsidRDefault="00BC7AD4" w:rsidP="00BC7AD4">
      <w:pPr>
        <w:spacing w:line="360" w:lineRule="auto"/>
        <w:jc w:val="both"/>
        <w:rPr>
          <w:rtl/>
        </w:rPr>
      </w:pPr>
    </w:p>
    <w:p w:rsidR="00BC7AD4" w:rsidRDefault="00BC7AD4" w:rsidP="00BC7AD4">
      <w:pPr>
        <w:spacing w:line="360" w:lineRule="auto"/>
        <w:jc w:val="both"/>
        <w:rPr>
          <w:rtl/>
        </w:rPr>
      </w:pPr>
    </w:p>
    <w:p w:rsidR="00BC7AD4" w:rsidRPr="00CA3D69" w:rsidRDefault="00BC7AD4" w:rsidP="00BC7AD4">
      <w:pPr>
        <w:spacing w:line="360" w:lineRule="auto"/>
        <w:jc w:val="both"/>
        <w:rPr>
          <w:rFonts w:ascii="Arial" w:hAnsi="Arial"/>
          <w:noProof w:val="0"/>
          <w:rtl/>
        </w:rPr>
      </w:pPr>
    </w:p>
    <w:p w:rsidR="00C30586" w:rsidRDefault="00C30586"/>
    <w:sectPr w:rsidR="00C30586" w:rsidSect="006B5553">
      <w:headerReference w:type="even" r:id="rId7"/>
      <w:headerReference w:type="default" r:id="rId8"/>
      <w:footerReference w:type="even" r:id="rId9"/>
      <w:footerReference w:type="default" r:id="rId10"/>
      <w:headerReference w:type="first" r:id="rId11"/>
      <w:footerReference w:type="first" r:id="rId12"/>
      <w:pgSz w:w="11907" w:h="16840" w:code="9"/>
      <w:pgMar w:top="1440" w:right="1800" w:bottom="1440" w:left="1800"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D233DA">
      <w:r>
        <w:separator/>
      </w:r>
    </w:p>
  </w:endnote>
  <w:endnote w:type="continuationSeparator" w:id="0">
    <w:p w:rsidR="00000000" w:rsidRDefault="00D23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E97" w:rsidRDefault="00D233D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C7AD4">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D233DA">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D233DA">
      <w:rPr>
        <w:rStyle w:val="a8"/>
        <w:rtl/>
      </w:rPr>
      <w:t>4</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E97" w:rsidRDefault="00D233D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D233DA">
      <w:r>
        <w:separator/>
      </w:r>
    </w:p>
  </w:footnote>
  <w:footnote w:type="continuationSeparator" w:id="0">
    <w:p w:rsidR="00000000" w:rsidRDefault="00D23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E97" w:rsidRDefault="00D233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BC7AD4">
    <w:pPr>
      <w:pStyle w:val="a3"/>
      <w:jc w:val="center"/>
      <w:rPr>
        <w:rFonts w:cs="FrankRuehl"/>
        <w:noProof w:val="0"/>
        <w:sz w:val="28"/>
        <w:szCs w:val="28"/>
        <w:rtl/>
      </w:rPr>
    </w:pPr>
    <w:r>
      <w:rPr>
        <w:rFonts w:cs="FrankRuehl"/>
        <w:sz w:val="28"/>
        <w:szCs w:val="28"/>
      </w:rPr>
      <w:drawing>
        <wp:inline distT="0" distB="0" distL="0" distR="0" wp14:anchorId="191DB21E" wp14:editId="2346E165">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153"/>
      <w:gridCol w:w="4154"/>
    </w:tblGrid>
    <w:tr w:rsidR="00694556" w:rsidTr="0043732A">
      <w:trPr>
        <w:trHeight w:hRule="exact" w:val="670"/>
        <w:jc w:val="center"/>
      </w:trPr>
      <w:sdt>
        <w:sdtPr>
          <w:rPr>
            <w:sz w:val="32"/>
            <w:szCs w:val="32"/>
            <w:rtl/>
          </w:rPr>
          <w:alias w:val="1174"/>
          <w:tag w:val="1174"/>
          <w:id w:val="-1775709220"/>
          <w:text/>
        </w:sdtPr>
        <w:sdtEndPr/>
        <w:sdtContent>
          <w:tc>
            <w:tcPr>
              <w:tcW w:w="8307" w:type="dxa"/>
              <w:gridSpan w:val="2"/>
            </w:tcPr>
            <w:p w:rsidR="00694556" w:rsidRPr="00CD0055" w:rsidRDefault="00BC7AD4">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B6145C" w:rsidRPr="00CD0055" w:rsidTr="00A9043E">
      <w:trPr>
        <w:trHeight w:val="461"/>
        <w:jc w:val="center"/>
      </w:trPr>
      <w:tc>
        <w:tcPr>
          <w:tcW w:w="8307" w:type="dxa"/>
          <w:gridSpan w:val="2"/>
        </w:tcPr>
        <w:p w:rsidR="00B6145C" w:rsidRPr="00B6145C" w:rsidRDefault="00D233DA" w:rsidP="00CA3D69">
          <w:pPr>
            <w:rPr>
              <w:b/>
              <w:bCs/>
              <w:noProof w:val="0"/>
              <w:sz w:val="26"/>
              <w:szCs w:val="26"/>
              <w:rtl/>
            </w:rPr>
          </w:pPr>
          <w:sdt>
            <w:sdtPr>
              <w:rPr>
                <w:b/>
                <w:bCs/>
                <w:noProof w:val="0"/>
                <w:sz w:val="26"/>
                <w:szCs w:val="26"/>
                <w:rtl/>
              </w:rPr>
              <w:alias w:val="1170"/>
              <w:tag w:val="1170"/>
              <w:id w:val="299038016"/>
              <w:text w:multiLine="1"/>
            </w:sdtPr>
            <w:sdtEndPr/>
            <w:sdtContent>
              <w:r w:rsidR="00BC7AD4">
                <w:rPr>
                  <w:b/>
                  <w:bCs/>
                  <w:noProof w:val="0"/>
                  <w:sz w:val="26"/>
                  <w:szCs w:val="26"/>
                  <w:rtl/>
                </w:rPr>
                <w:t>עמ"י</w:t>
              </w:r>
            </w:sdtContent>
          </w:sdt>
          <w:r w:rsidR="00BC7AD4"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BC7AD4">
                <w:rPr>
                  <w:b/>
                  <w:bCs/>
                  <w:noProof w:val="0"/>
                  <w:sz w:val="26"/>
                  <w:szCs w:val="26"/>
                  <w:rtl/>
                </w:rPr>
                <w:t>9633-07-24</w:t>
              </w:r>
            </w:sdtContent>
          </w:sdt>
          <w:r w:rsidR="00BC7AD4"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BC7AD4">
                <w:rPr>
                  <w:b/>
                  <w:bCs/>
                  <w:noProof w:val="0"/>
                  <w:sz w:val="26"/>
                  <w:szCs w:val="26"/>
                  <w:rtl/>
                </w:rPr>
                <w:t xml:space="preserve">ימ"ר תל אביב נ' </w:t>
              </w:r>
              <w:r w:rsidR="00BC7AD4">
                <w:rPr>
                  <w:rFonts w:hint="cs"/>
                  <w:b/>
                  <w:bCs/>
                  <w:noProof w:val="0"/>
                  <w:sz w:val="26"/>
                  <w:szCs w:val="26"/>
                  <w:rtl/>
                </w:rPr>
                <w:t>פלוני</w:t>
              </w:r>
              <w:r w:rsidR="00BC7AD4">
                <w:rPr>
                  <w:b/>
                  <w:bCs/>
                  <w:noProof w:val="0"/>
                  <w:sz w:val="26"/>
                  <w:szCs w:val="26"/>
                  <w:rtl/>
                </w:rPr>
                <w:t xml:space="preserve"> ואח'</w:t>
              </w:r>
            </w:sdtContent>
          </w:sdt>
          <w:r w:rsidR="00BC7AD4">
            <w:rPr>
              <w:rFonts w:hint="cs"/>
              <w:b/>
              <w:bCs/>
              <w:noProof w:val="0"/>
              <w:sz w:val="26"/>
              <w:szCs w:val="26"/>
              <w:rtl/>
            </w:rPr>
            <w:t xml:space="preserve"> </w:t>
          </w:r>
          <w:r w:rsidR="00BC7AD4" w:rsidRPr="00CD0055">
            <w:rPr>
              <w:rFonts w:hint="cs"/>
              <w:b/>
              <w:bCs/>
              <w:noProof w:val="0"/>
              <w:sz w:val="26"/>
              <w:szCs w:val="26"/>
              <w:rtl/>
            </w:rPr>
            <w:t xml:space="preserve"> </w:t>
          </w:r>
        </w:p>
      </w:tc>
    </w:tr>
    <w:tr w:rsidR="00B6145C" w:rsidRPr="00CD0055" w:rsidTr="00A9043E">
      <w:trPr>
        <w:trHeight w:val="440"/>
        <w:jc w:val="center"/>
      </w:trPr>
      <w:tc>
        <w:tcPr>
          <w:tcW w:w="4153" w:type="dxa"/>
        </w:tcPr>
        <w:p w:rsidR="00B6145C" w:rsidRDefault="00BC7AD4" w:rsidP="00B6145C">
          <w:pPr>
            <w:rPr>
              <w:b/>
              <w:bCs/>
              <w:noProof w:val="0"/>
              <w:sz w:val="26"/>
              <w:szCs w:val="26"/>
              <w:rtl/>
            </w:rPr>
          </w:pPr>
          <w:r>
            <w:rPr>
              <w:rFonts w:hint="cs"/>
              <w:b/>
              <w:bCs/>
              <w:noProof w:val="0"/>
              <w:sz w:val="26"/>
              <w:szCs w:val="26"/>
              <w:rtl/>
            </w:rPr>
            <w:t xml:space="preserve">לפני כבוד השופט עודד מאור                                                   </w:t>
          </w:r>
          <w:r>
            <w:rPr>
              <w:b/>
              <w:bCs/>
              <w:noProof w:val="0"/>
              <w:sz w:val="26"/>
              <w:szCs w:val="26"/>
              <w:rtl/>
            </w:rPr>
            <w:t xml:space="preserve"> </w:t>
          </w:r>
        </w:p>
      </w:tc>
      <w:sdt>
        <w:sdtPr>
          <w:rPr>
            <w:b/>
            <w:bCs/>
            <w:noProof w:val="0"/>
            <w:sz w:val="26"/>
            <w:szCs w:val="26"/>
            <w:rtl/>
          </w:rPr>
          <w:alias w:val="1192"/>
          <w:tag w:val="1192"/>
          <w:id w:val="1290937295"/>
          <w:showingPlcHdr/>
          <w:text w:multiLine="1"/>
        </w:sdtPr>
        <w:sdtEndPr/>
        <w:sdtContent>
          <w:tc>
            <w:tcPr>
              <w:tcW w:w="4154" w:type="dxa"/>
            </w:tcPr>
            <w:p w:rsidR="00B6145C" w:rsidRDefault="00BC7AD4" w:rsidP="00A9043E">
              <w:pPr>
                <w:jc w:val="right"/>
                <w:rPr>
                  <w:b/>
                  <w:bCs/>
                  <w:noProof w:val="0"/>
                  <w:sz w:val="26"/>
                  <w:szCs w:val="26"/>
                  <w:rtl/>
                </w:rPr>
              </w:pPr>
              <w:r>
                <w:rPr>
                  <w:b/>
                  <w:bCs/>
                  <w:noProof w:val="0"/>
                  <w:sz w:val="26"/>
                  <w:szCs w:val="26"/>
                  <w:rtl/>
                </w:rPr>
                <w:t>04 יולי 2024</w:t>
              </w:r>
            </w:p>
          </w:tc>
        </w:sdtContent>
      </w:sdt>
    </w:tr>
  </w:tbl>
  <w:p w:rsidR="00694556" w:rsidRPr="00CD0055" w:rsidRDefault="00D233DA">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E97" w:rsidRDefault="00D233D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AD4"/>
    <w:rsid w:val="001543BC"/>
    <w:rsid w:val="00BC7AD4"/>
    <w:rsid w:val="00C30586"/>
    <w:rsid w:val="00D233D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8DC3D675-E8E5-452F-97BC-0FC0C2E4A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AD4"/>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C7AD4"/>
    <w:pPr>
      <w:tabs>
        <w:tab w:val="center" w:pos="4153"/>
        <w:tab w:val="right" w:pos="8306"/>
      </w:tabs>
    </w:pPr>
  </w:style>
  <w:style w:type="character" w:customStyle="1" w:styleId="a4">
    <w:name w:val="כותרת עליונה תו"/>
    <w:basedOn w:val="a0"/>
    <w:link w:val="a3"/>
    <w:rsid w:val="00BC7AD4"/>
    <w:rPr>
      <w:rFonts w:ascii="Times New Roman" w:eastAsia="Times New Roman" w:hAnsi="Times New Roman" w:cs="David"/>
      <w:noProof/>
      <w:sz w:val="24"/>
      <w:szCs w:val="24"/>
    </w:rPr>
  </w:style>
  <w:style w:type="paragraph" w:styleId="a5">
    <w:name w:val="footer"/>
    <w:basedOn w:val="a"/>
    <w:link w:val="a6"/>
    <w:rsid w:val="00BC7AD4"/>
    <w:pPr>
      <w:tabs>
        <w:tab w:val="center" w:pos="4153"/>
        <w:tab w:val="right" w:pos="8306"/>
      </w:tabs>
    </w:pPr>
  </w:style>
  <w:style w:type="character" w:customStyle="1" w:styleId="a6">
    <w:name w:val="כותרת תחתונה תו"/>
    <w:basedOn w:val="a0"/>
    <w:link w:val="a5"/>
    <w:rsid w:val="00BC7AD4"/>
    <w:rPr>
      <w:rFonts w:ascii="Times New Roman" w:eastAsia="Times New Roman" w:hAnsi="Times New Roman" w:cs="David"/>
      <w:noProof/>
      <w:sz w:val="24"/>
      <w:szCs w:val="24"/>
    </w:rPr>
  </w:style>
  <w:style w:type="table" w:styleId="a7">
    <w:name w:val="Table Grid"/>
    <w:basedOn w:val="a1"/>
    <w:rsid w:val="00BC7AD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BC7AD4"/>
  </w:style>
  <w:style w:type="character" w:styleId="a9">
    <w:name w:val="line number"/>
    <w:basedOn w:val="a0"/>
    <w:uiPriority w:val="99"/>
    <w:semiHidden/>
    <w:unhideWhenUsed/>
    <w:rsid w:val="00BC7A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954</Words>
  <Characters>4772</Characters>
  <Application>Microsoft Office Word</Application>
  <DocSecurity>4</DocSecurity>
  <Lines>39</Lines>
  <Paragraphs>11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ברק סודרי</dc:creator>
  <cp:keywords/>
  <dc:description/>
  <cp:lastModifiedBy>מוטי גולן</cp:lastModifiedBy>
  <cp:revision>2</cp:revision>
  <dcterms:created xsi:type="dcterms:W3CDTF">2024-07-07T08:05:00Z</dcterms:created>
  <dcterms:modified xsi:type="dcterms:W3CDTF">2024-07-07T08:05:00Z</dcterms:modified>
</cp:coreProperties>
</file>